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6" w:rsidRDefault="00A23789" w:rsidP="00A2378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12 – Section 4 – 6</w:t>
      </w:r>
    </w:p>
    <w:p w:rsidR="00A23789" w:rsidRDefault="00A23789" w:rsidP="00A23789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298 – 306</w:t>
      </w:r>
    </w:p>
    <w:p w:rsid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much fish and shellfish </w:t>
      </w:r>
      <w:r w:rsidR="000D4D05">
        <w:rPr>
          <w:sz w:val="28"/>
          <w:szCs w:val="28"/>
        </w:rPr>
        <w:t>come</w:t>
      </w:r>
      <w:r>
        <w:rPr>
          <w:sz w:val="28"/>
          <w:szCs w:val="28"/>
        </w:rPr>
        <w:t xml:space="preserve"> from the ocean?</w:t>
      </w:r>
    </w:p>
    <w:p w:rsid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fish comes from ponds?</w:t>
      </w:r>
    </w:p>
    <w:p w:rsid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fish comes from fisheries?</w:t>
      </w:r>
    </w:p>
    <w:p w:rsid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trends in the world fish catch since 1950?</w:t>
      </w:r>
    </w:p>
    <w:p w:rsid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general guidelines for more sustainable management of global fisheries?</w:t>
      </w:r>
    </w:p>
    <w:p w:rsid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important is aquaculture research?</w:t>
      </w:r>
    </w:p>
    <w:p w:rsidR="00A23789" w:rsidRPr="00A23789" w:rsidRDefault="00A23789" w:rsidP="00A237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guidelines for </w:t>
      </w:r>
      <w:r w:rsidR="000D4D05">
        <w:rPr>
          <w:sz w:val="28"/>
          <w:szCs w:val="28"/>
        </w:rPr>
        <w:t>sustainable</w:t>
      </w:r>
      <w:r>
        <w:rPr>
          <w:sz w:val="28"/>
          <w:szCs w:val="28"/>
        </w:rPr>
        <w:t xml:space="preserve"> agricultural systems?</w:t>
      </w:r>
    </w:p>
    <w:sectPr w:rsidR="00A23789" w:rsidRPr="00A23789" w:rsidSect="00D1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F29"/>
    <w:multiLevelType w:val="hybridMultilevel"/>
    <w:tmpl w:val="5C8A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3789"/>
    <w:rsid w:val="000D4D05"/>
    <w:rsid w:val="00A23789"/>
    <w:rsid w:val="00D1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1</cp:revision>
  <dcterms:created xsi:type="dcterms:W3CDTF">2011-03-21T14:54:00Z</dcterms:created>
  <dcterms:modified xsi:type="dcterms:W3CDTF">2011-03-21T15:08:00Z</dcterms:modified>
</cp:coreProperties>
</file>